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A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023C3A">
        <w:rPr>
          <w:rFonts w:ascii="Times New Roman" w:hAnsi="Times New Roman"/>
          <w:b/>
          <w:sz w:val="24"/>
          <w:szCs w:val="24"/>
        </w:rPr>
        <w:t xml:space="preserve"> </w:t>
      </w:r>
    </w:p>
    <w:p w:rsidR="00023C3A" w:rsidRDefault="00023C3A" w:rsidP="00023C3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профессии </w:t>
      </w:r>
    </w:p>
    <w:p w:rsidR="00023C3A" w:rsidRPr="00023C3A" w:rsidRDefault="00023C3A" w:rsidP="00023C3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23.01.17 </w:t>
      </w:r>
      <w:r w:rsidRPr="00023C3A">
        <w:rPr>
          <w:rFonts w:ascii="Times New Roman" w:hAnsi="Times New Roman"/>
          <w:b/>
          <w:bCs/>
          <w:sz w:val="24"/>
          <w:szCs w:val="24"/>
        </w:rPr>
        <w:t xml:space="preserve">Мастер по ремонту и обслуживанию </w:t>
      </w:r>
    </w:p>
    <w:p w:rsidR="001D11DC" w:rsidRDefault="00023C3A" w:rsidP="00023C3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23C3A">
        <w:rPr>
          <w:rFonts w:ascii="Times New Roman" w:hAnsi="Times New Roman"/>
          <w:b/>
          <w:bCs/>
          <w:sz w:val="24"/>
          <w:szCs w:val="24"/>
        </w:rPr>
        <w:t>автомобилей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ПО </w:t>
      </w:r>
      <w:r w:rsidR="00185E6D" w:rsidRPr="00185E6D">
        <w:rPr>
          <w:rFonts w:ascii="Times New Roman" w:hAnsi="Times New Roman"/>
          <w:b/>
          <w:sz w:val="28"/>
          <w:szCs w:val="28"/>
        </w:rPr>
        <w:t xml:space="preserve">ПРОФЕССИИ </w:t>
      </w:r>
      <w:r w:rsidRPr="00185E6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39539152"/>
    </w:p>
    <w:p w:rsidR="00185E6D" w:rsidRPr="00185E6D" w:rsidRDefault="00185E6D" w:rsidP="00185E6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85E6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23.01.17 Мастер по ремонту и обслуживанию </w:t>
      </w:r>
    </w:p>
    <w:p w:rsidR="001D11DC" w:rsidRPr="00185E6D" w:rsidRDefault="00185E6D" w:rsidP="00185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автомобилей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 xml:space="preserve">Профессиональное воспитание обучающихся по </w:t>
      </w:r>
      <w:r w:rsidR="00B42D07">
        <w:rPr>
          <w:rFonts w:ascii="Times New Roman" w:hAnsi="Times New Roman"/>
          <w:sz w:val="24"/>
          <w:szCs w:val="24"/>
        </w:rPr>
        <w:t>профессии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85E6D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Pr="001D11DC">
        <w:rPr>
          <w:rFonts w:ascii="Times New Roman" w:hAnsi="Times New Roman"/>
          <w:b/>
          <w:bCs/>
          <w:iCs/>
          <w:sz w:val="24"/>
          <w:szCs w:val="24"/>
        </w:rPr>
        <w:t>по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85E6D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185E6D" w:rsidRPr="00185E6D">
        <w:rPr>
          <w:rFonts w:ascii="Times New Roman" w:hAnsi="Times New Roman"/>
          <w:b/>
          <w:bCs/>
          <w:iCs/>
          <w:sz w:val="24"/>
          <w:szCs w:val="24"/>
        </w:rPr>
        <w:t>23.01.17 Мастер по ремонту и обслуживанию автомобилей</w:t>
      </w:r>
      <w:r w:rsidRPr="001D11DC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85E6D">
      <w:pPr>
        <w:keepNext/>
        <w:keepLines/>
        <w:spacing w:after="0" w:line="288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3A406D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</w:t>
      </w:r>
      <w:r w:rsidR="001E1EA1">
        <w:rPr>
          <w:b/>
          <w:bCs/>
          <w:iCs/>
          <w:sz w:val="24"/>
          <w:szCs w:val="24"/>
        </w:rPr>
        <w:t xml:space="preserve">профессии </w:t>
      </w:r>
      <w:r w:rsidR="001E1EA1" w:rsidRPr="00185E6D">
        <w:rPr>
          <w:b/>
          <w:bCs/>
          <w:iCs/>
          <w:sz w:val="24"/>
          <w:szCs w:val="24"/>
        </w:rPr>
        <w:t>23.01.17 Мастер по ремонту и обслуживанию автомобилей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12110" w:rsidRPr="007E3E41" w:rsidRDefault="00C12110" w:rsidP="00CB78E7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CB78E7">
            <w:pPr>
              <w:spacing w:after="0" w:line="259" w:lineRule="auto"/>
              <w:ind w:left="5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1E1EA1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="00E87DA9"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426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растет, прославляя свою 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</w:t>
            </w:r>
            <w:r w:rsid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23.01.17 Мастер по ремонту и обслуживанию автомобилей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сельского, лесного и рыбного хозяйства;</w:t>
            </w:r>
          </w:p>
        </w:tc>
      </w:tr>
      <w:tr w:rsidR="001D11DC" w:rsidRPr="001D11DC" w:rsidTr="001D11DC">
        <w:trPr>
          <w:trHeight w:val="60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применяющий знания о технологических процессах в отрасли растениеводства и животноводства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E1EA1" w:rsidRDefault="001E1EA1" w:rsidP="001E1EA1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знаниями в транспортной области</w:t>
            </w:r>
            <w:r w:rsidR="001D11DC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умением составления планов-нарядов, доведения их до исполнителей, составление первичных документов в бригаде;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>профессии 23.01.17 Мастер по ремонту и обслуживанию автомобилей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>профессии 23.01.17 Мастер по ремонту и обслуживанию автомобилей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2419F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внедрение методик преподавания общеобразовательных дисциплин с учетом профессиональной направленности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</w:t>
            </w:r>
            <w:r w:rsidR="00AF20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идеалов выбранной 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>профессии 23.01.17 Мастер по ремонту и обслуживанию автомобилей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11DC" w:rsidRPr="001D11DC" w:rsidTr="00494279">
        <w:trPr>
          <w:trHeight w:val="1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 музейно-выставочного пространства, содержащего экспозиции об истории и развитии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деятелей, имеющей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организациях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профессиональной сферы, имеющих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494279">
        <w:trPr>
          <w:trHeight w:val="7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23.01.17 Мастер по ремонту и обслуживанию автомобилей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профессиональные встречи, диалоги с приглашением родителей (законных представителей), работающих по специальности, чествование трудовых династий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19F7" w:rsidRPr="002419F7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BD102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BD10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водителя</w:t>
            </w:r>
            <w:r w:rsidRPr="002419F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профессии </w:t>
            </w:r>
            <w:r w:rsidR="00BD1023" w:rsidRPr="00185E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23.01.17 Мастер по ремонту и обслуживанию автомобилей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BD102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ю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27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494279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конкур</w:t>
            </w:r>
            <w:r w:rsidR="00494279" w:rsidRP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 профессионального мастерства</w:t>
            </w:r>
            <w:r w:rsidRPr="0049427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23.01.17 Мастер по ремонту и обслуживанию автомобилей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нием первой медицинской помощи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 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организации отдыха и занятости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494279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воспитательной деятельности техникума, организация участия студентов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494279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Pr="00FB2912" w:rsidRDefault="003A406D" w:rsidP="00FB291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hyperlink r:id="rId8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>273-ФЗ «Об образовании в Российской Федерации» (</w:t>
      </w:r>
      <w:bookmarkStart w:id="2" w:name="_GoBack"/>
      <w:r w:rsidR="00FB2912" w:rsidRPr="00FB2912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bookmarkEnd w:id="2"/>
      <w:r w:rsidR="00FB2912"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9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BD1023" w:rsidRPr="00E439A9" w:rsidRDefault="00BD1023" w:rsidP="00BD1023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81C7B">
        <w:rPr>
          <w:rFonts w:ascii="Times New Roman" w:hAnsi="Times New Roman"/>
          <w:bCs/>
          <w:sz w:val="24"/>
          <w:szCs w:val="24"/>
        </w:rPr>
        <w:t xml:space="preserve">Приказ Министерства </w:t>
      </w:r>
      <w:r w:rsidRPr="00F81C7B">
        <w:rPr>
          <w:rFonts w:ascii="Times New Roman" w:hAnsi="Times New Roman"/>
          <w:bCs/>
          <w:noProof/>
          <w:sz w:val="24"/>
          <w:szCs w:val="24"/>
        </w:rPr>
        <w:t>образования и науки Российской Федерации</w:t>
      </w:r>
      <w:r w:rsidRPr="00F81C7B">
        <w:rPr>
          <w:rFonts w:ascii="Times New Roman" w:hAnsi="Times New Roman"/>
          <w:bCs/>
          <w:sz w:val="24"/>
          <w:szCs w:val="24"/>
        </w:rPr>
        <w:t xml:space="preserve"> от</w:t>
      </w:r>
      <w:r w:rsidRPr="00660670">
        <w:rPr>
          <w:rFonts w:ascii="Times New Roman" w:hAnsi="Times New Roman"/>
          <w:bCs/>
          <w:sz w:val="24"/>
          <w:szCs w:val="24"/>
        </w:rPr>
        <w:t xml:space="preserve"> </w:t>
      </w:r>
      <w:r w:rsidRPr="00660670">
        <w:rPr>
          <w:rFonts w:ascii="Times New Roman" w:hAnsi="Times New Roman"/>
          <w:bCs/>
          <w:noProof/>
          <w:sz w:val="24"/>
          <w:szCs w:val="24"/>
        </w:rPr>
        <w:t>09.12.2016 № 1581</w:t>
      </w:r>
      <w:r w:rsidRPr="00660670">
        <w:rPr>
          <w:rFonts w:ascii="Times New Roman" w:hAnsi="Times New Roman"/>
          <w:bCs/>
          <w:sz w:val="24"/>
          <w:szCs w:val="24"/>
        </w:rPr>
        <w:t xml:space="preserve"> «</w:t>
      </w:r>
      <w:r w:rsidRPr="00660670">
        <w:rPr>
          <w:rFonts w:ascii="Times New Roman" w:hAnsi="Times New Roman"/>
          <w:bCs/>
          <w:noProof/>
          <w:sz w:val="24"/>
          <w:szCs w:val="24"/>
        </w:rPr>
        <w:t>Об утверждении федерального государственного образовательного стандарта среднего профессионального образования по профессии 23.01.17 Мастер по ремонту и обслуживанию автомобилей</w:t>
      </w:r>
      <w:r>
        <w:rPr>
          <w:rFonts w:ascii="Times New Roman" w:hAnsi="Times New Roman"/>
          <w:bCs/>
          <w:sz w:val="24"/>
          <w:szCs w:val="24"/>
        </w:rPr>
        <w:t>»</w:t>
      </w:r>
      <w:r w:rsidRPr="006638C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6638C4">
        <w:rPr>
          <w:rFonts w:ascii="Times New Roman" w:hAnsi="Times New Roman"/>
          <w:bCs/>
          <w:sz w:val="24"/>
          <w:szCs w:val="24"/>
        </w:rPr>
        <w:t>Зарегистрирова</w:t>
      </w:r>
      <w:r>
        <w:rPr>
          <w:rFonts w:ascii="Times New Roman" w:hAnsi="Times New Roman"/>
          <w:bCs/>
          <w:sz w:val="24"/>
          <w:szCs w:val="24"/>
        </w:rPr>
        <w:t>но в Минюсте России 20.12.2016 №</w:t>
      </w:r>
      <w:r w:rsidRPr="006638C4">
        <w:rPr>
          <w:rFonts w:ascii="Times New Roman" w:hAnsi="Times New Roman"/>
          <w:bCs/>
          <w:sz w:val="24"/>
          <w:szCs w:val="24"/>
        </w:rPr>
        <w:t xml:space="preserve"> 44800</w:t>
      </w:r>
      <w:r>
        <w:rPr>
          <w:rFonts w:ascii="Times New Roman" w:hAnsi="Times New Roman"/>
          <w:bCs/>
          <w:sz w:val="24"/>
          <w:szCs w:val="24"/>
        </w:rPr>
        <w:t>)</w:t>
      </w:r>
      <w:r w:rsidRPr="00895ACF">
        <w:rPr>
          <w:rFonts w:ascii="Times New Roman" w:hAnsi="Times New Roman"/>
          <w:bCs/>
          <w:sz w:val="24"/>
          <w:szCs w:val="24"/>
        </w:rPr>
        <w:t xml:space="preserve"> в редакции  Приказа </w:t>
      </w:r>
      <w:proofErr w:type="spellStart"/>
      <w:r w:rsidRPr="00895ACF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895ACF">
        <w:rPr>
          <w:rFonts w:ascii="Times New Roman" w:hAnsi="Times New Roman"/>
          <w:bCs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</w:t>
      </w:r>
      <w:r w:rsidRPr="00E439A9">
        <w:rPr>
          <w:rFonts w:ascii="Times New Roman" w:hAnsi="Times New Roman"/>
          <w:bCs/>
          <w:sz w:val="24"/>
          <w:szCs w:val="24"/>
        </w:rPr>
        <w:t>;</w:t>
      </w:r>
    </w:p>
    <w:p w:rsidR="00FB2912" w:rsidRP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внедрением рабочей программы воспитания размещены на сайте ГБПОУ «ВАТТ-ККК» - </w:t>
      </w:r>
      <w:hyperlink r:id="rId10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3A406D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spacing w:after="0" w:line="264" w:lineRule="auto"/>
        <w:ind w:left="65" w:firstLine="64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F77B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3.3 Требования к условиям работы с обучающимися с особыми образовательными потребностями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Особыми задачами воспитания обучающихся с особыми образовательными потребностями являются: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Специфика воспитательного процесса в школе-интернате для обучающихся с интеллектуальными нарушениями заключается: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 осуществлении комплексных динамических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коррекционно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- развивающих мер;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преодолении затруднений социальной адаптации детей с особыми образовательными потребностями;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формировании у них коммуникативных навыков;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социальной реабилитации детей-инвалидов, подготовке их к жизни в обществе;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целенаправленном вовлечении семьи в этот процесс.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личностно-ориентированный и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деятельностностный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подход, включающий ребенка в учебную,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здоровьесберегающую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, социально-общественную, трудовую и досуговую среду;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- системность, целесообразность и не шаблонность воспитания как условия его эффективности.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реализацию коллективных творческих проектов, через совместные мероприятия с родителями.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Для обучения и воспитания на уровне «Равный - равному» развитие системы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волонтерства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техникуме для организации: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спортивных мероприятий 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социальных мероприятий (социальное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экологическое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FB2912" w:rsidRDefault="00FB2912" w:rsidP="00FB2912">
      <w:pPr>
        <w:pStyle w:val="a7"/>
        <w:spacing w:after="0"/>
      </w:pPr>
    </w:p>
    <w:p w:rsidR="00FB2912" w:rsidRDefault="00FB2912" w:rsidP="00FB2912">
      <w:pPr>
        <w:pStyle w:val="a7"/>
        <w:spacing w:after="0"/>
      </w:pPr>
      <w:r>
        <w:t>3.4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FB2912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</w:t>
      </w:r>
      <w:r w:rsidRPr="004B03C8">
        <w:rPr>
          <w:sz w:val="24"/>
          <w:szCs w:val="24"/>
        </w:rPr>
        <w:lastRenderedPageBreak/>
        <w:t>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1D1CFE">
      <w:pPr>
        <w:spacing w:after="0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D1023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023">
        <w:rPr>
          <w:rFonts w:ascii="Times New Roman" w:hAnsi="Times New Roman"/>
          <w:b/>
          <w:bCs/>
          <w:sz w:val="24"/>
          <w:szCs w:val="24"/>
        </w:rPr>
        <w:t>профессии 23.01.17 Мастер по ремонту и обслуживанию автомобилей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обществознания, Советник директора по воспитанию и по взаимодействию с детскими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962E06" w:rsidRPr="001D1CFE" w:rsidTr="00BB5C88">
        <w:tc>
          <w:tcPr>
            <w:tcW w:w="15824" w:type="dxa"/>
            <w:gridSpan w:val="7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Праздничные мероприятия посвящённые юбилею техникума (90 лет)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сельского хозяйства и перерабатывающей промышленности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10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419F7" w:rsidRPr="001D1CFE" w:rsidRDefault="002419F7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Всемирный день борьбы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 СПИДом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Профилактика и безопасность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Основные воспитательные мероприятия Наставничество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антикоррупционной 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Профилактическое мероприятие «Профилактика 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интернационалистов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 w:rsidR="002419F7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Профессиональное развитие, адаптация и трудоустройство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Советник директора по воспитанию и по взаимодействию с детскими общественными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объединениями, Библиотекарь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классные руководители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Советник директора по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40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1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2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3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4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5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6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7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8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49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50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023C3A"/>
    <w:rsid w:val="000C76A4"/>
    <w:rsid w:val="00185E6D"/>
    <w:rsid w:val="001D11DC"/>
    <w:rsid w:val="001D1CFE"/>
    <w:rsid w:val="001E1EA1"/>
    <w:rsid w:val="002419F7"/>
    <w:rsid w:val="003A406D"/>
    <w:rsid w:val="00494279"/>
    <w:rsid w:val="00574719"/>
    <w:rsid w:val="00955E90"/>
    <w:rsid w:val="00962E06"/>
    <w:rsid w:val="00AF2099"/>
    <w:rsid w:val="00B23482"/>
    <w:rsid w:val="00B42D07"/>
    <w:rsid w:val="00BB5C88"/>
    <w:rsid w:val="00BC7342"/>
    <w:rsid w:val="00BD1023"/>
    <w:rsid w:val="00C12110"/>
    <w:rsid w:val="00C27910"/>
    <w:rsid w:val="00CB78E7"/>
    <w:rsid w:val="00CF75EF"/>
    <w:rsid w:val="00D542E2"/>
    <w:rsid w:val="00DD2054"/>
    <w:rsid w:val="00DD7721"/>
    <w:rsid w:val="00E3341A"/>
    <w:rsid w:val="00E87DA9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A466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tt-kkk.ucoz.net/lokal_akt/polozhenie_o_merakh_pooshhrenija_i_disciplinarnom_.pdf" TargetMode="External"/><Relationship Id="rId18" Type="http://schemas.openxmlformats.org/officeDocument/2006/relationships/hyperlink" Target="http://vatt-kkk.ucoz.net/lokal_akt/polozhenie_o_sluzhbe_socialno-psikhologicheskoj_po.pdf" TargetMode="External"/><Relationship Id="rId26" Type="http://schemas.openxmlformats.org/officeDocument/2006/relationships/hyperlink" Target="https://vatt-kkk.ucoz.net/polozhenie_o_rezhime_zanjatij_obuchajushhikhsja.pdf" TargetMode="External"/><Relationship Id="rId39" Type="http://schemas.openxmlformats.org/officeDocument/2006/relationships/hyperlink" Target="http://vatt-kkk.ucoz.net/soglashenie_o_sotrudnichestv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att-kkk.ucoz.net/Normativka/polozhenie.pdf" TargetMode="External"/><Relationship Id="rId34" Type="http://schemas.openxmlformats.org/officeDocument/2006/relationships/hyperlink" Target="http://vatt-kkk.ucoz.net/lokal_akt/programma_tekushhego_kontrolja_za_sostojaniem_zdor.pdf" TargetMode="External"/><Relationship Id="rId42" Type="http://schemas.openxmlformats.org/officeDocument/2006/relationships/hyperlink" Target="https://www.ruy.ru/" TargetMode="External"/><Relationship Id="rId47" Type="http://schemas.openxmlformats.org/officeDocument/2006/relationships/hyperlink" Target="https://bolshayaperemena.online/" TargetMode="External"/><Relationship Id="rId50" Type="http://schemas.openxmlformats.org/officeDocument/2006/relationships/hyperlink" Target="https://vk.com/away.php?to=http%3A%2F%2F%E1%F3%E4%FC%E2%E4%E2%E8%E6%E5%ED%E8%E8.%F0%F4&amp;cc_key=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att-kkk.ucoz.net/Polozhen_o_kon/na_sajt.pdf" TargetMode="External"/><Relationship Id="rId17" Type="http://schemas.openxmlformats.org/officeDocument/2006/relationships/hyperlink" Target="http://vatt-kkk.ucoz.net/lokal_akt/polozhenie_o_porjadke_realizacii_prav_obuchaju.pdf" TargetMode="External"/><Relationship Id="rId25" Type="http://schemas.openxmlformats.org/officeDocument/2006/relationships/hyperlink" Target="http://vatt-kkk.ucoz.net/Normativka/polozhenie_porjadok_naznachenija_gos_akademichesko.pdf" TargetMode="External"/><Relationship Id="rId33" Type="http://schemas.openxmlformats.org/officeDocument/2006/relationships/hyperlink" Target="https://vatt-kkk.ucoz.net/polozhenie_o_obshhezhitii.pdf" TargetMode="External"/><Relationship Id="rId38" Type="http://schemas.openxmlformats.org/officeDocument/2006/relationships/hyperlink" Target="http://vatt-kkk.ucoz.net/Normativka/dorozhnaja_karta-sdali.docx" TargetMode="External"/><Relationship Id="rId46" Type="http://schemas.openxmlformats.org/officeDocument/2006/relationships/hyperlink" Target="https://firp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tt-kkk.ucoz.net/lokal_akt/polozhenie_o_porjadke_predostavlenija_akadem.pdf" TargetMode="External"/><Relationship Id="rId20" Type="http://schemas.openxmlformats.org/officeDocument/2006/relationships/hyperlink" Target="http://vatt-kkk.ucoz.net/lokal_akt/polozhenie_o_socialnoj_podderzhke_detej_sirot.pdf" TargetMode="External"/><Relationship Id="rId29" Type="http://schemas.openxmlformats.org/officeDocument/2006/relationships/hyperlink" Target="https://vatt-kkk.ucoz.net/polozhenie_o_porjadke_oformlenija_vozniknovenija_i.pdf" TargetMode="External"/><Relationship Id="rId41" Type="http://schemas.openxmlformats.org/officeDocument/2006/relationships/hyperlink" Target="https://znanierussi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att-kkk.ucoz.net/lokal_akt/polozhenie_o_klassnom_rukovodstve.pdf" TargetMode="External"/><Relationship Id="rId24" Type="http://schemas.openxmlformats.org/officeDocument/2006/relationships/hyperlink" Target="http://vatt-kkk.ucoz.net/lokal_akt/polozhenie_o_stipendialnoj_komissii.pdf" TargetMode="External"/><Relationship Id="rId32" Type="http://schemas.openxmlformats.org/officeDocument/2006/relationships/hyperlink" Target="http://vatt-kkk.ucoz.net/lokal_akt/polozhenie_ob_organizacii_proektnoj_dejatelnosti_o.pdf" TargetMode="External"/><Relationship Id="rId37" Type="http://schemas.openxmlformats.org/officeDocument/2006/relationships/hyperlink" Target="https://vatt-kkk.ucoz.net/pravila_vnutrennego_trudovogo_rasporjadka.pdf" TargetMode="External"/><Relationship Id="rId40" Type="http://schemas.openxmlformats.org/officeDocument/2006/relationships/hyperlink" Target="https://rsv.ru/" TargetMode="External"/><Relationship Id="rId45" Type="http://schemas.openxmlformats.org/officeDocument/2006/relationships/hyperlink" Target="https://rosstude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tt-kkk.ucoz.net/lokal_akt/polozhenie_o_porjadke_organizacii_pitanija_student.pdf" TargetMode="External"/><Relationship Id="rId23" Type="http://schemas.openxmlformats.org/officeDocument/2006/relationships/hyperlink" Target="http://vatt-kkk.ucoz.net/lokal_akt/polozhenie_ob_okhrane_zdorovja_obuchajushhikhsja.pdf" TargetMode="External"/><Relationship Id="rId28" Type="http://schemas.openxmlformats.org/officeDocument/2006/relationships/hyperlink" Target="http://vatt-kkk.ucoz.net/Normativka/polozhenie_o_studencheskom_sovete.pdf" TargetMode="External"/><Relationship Id="rId36" Type="http://schemas.openxmlformats.org/officeDocument/2006/relationships/hyperlink" Target="http://vatt-kkk.ucoz.net/Normativka/programma_dop_obrazovanija_kazachestvo.pdf" TargetMode="External"/><Relationship Id="rId49" Type="http://schemas.openxmlformats.org/officeDocument/2006/relationships/hyperlink" Target="https://onf.ru" TargetMode="External"/><Relationship Id="rId10" Type="http://schemas.openxmlformats.org/officeDocument/2006/relationships/hyperlink" Target="https://vatt-kkk.ucoz.net/index/dokumenty/0-10" TargetMode="External"/><Relationship Id="rId19" Type="http://schemas.openxmlformats.org/officeDocument/2006/relationships/hyperlink" Target="http://vatt-kkk.ucoz.net/Normativka/polozhenie_o_sovete_profilaktiki_beznadzornosti_i_.pdf" TargetMode="External"/><Relationship Id="rId31" Type="http://schemas.openxmlformats.org/officeDocument/2006/relationships/hyperlink" Target="http://vatt-kkk.ucoz.net/Normativka/polozhenie_o_centre_sodejstvija_trudoustrojstvu_vy.pdf" TargetMode="External"/><Relationship Id="rId44" Type="http://schemas.openxmlformats.org/officeDocument/2006/relationships/hyperlink" Target="https://&#1072;&#1074;&#1094;.&#1088;&#1092;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409" TargetMode="External"/><Relationship Id="rId14" Type="http://schemas.openxmlformats.org/officeDocument/2006/relationships/hyperlink" Target="http://vatt-kkk.ucoz.net/lokal_akt/polozhenie_o_porjadke_organizacii_integrirovannogo.pdf" TargetMode="External"/><Relationship Id="rId22" Type="http://schemas.openxmlformats.org/officeDocument/2006/relationships/hyperlink" Target="http://vatt-kkk.ucoz.net/Normativka/prikaz_ob_utverzhdenii_polozhenija.pdf" TargetMode="External"/><Relationship Id="rId27" Type="http://schemas.openxmlformats.org/officeDocument/2006/relationships/hyperlink" Target="http://vatt-kkk.ucoz.net/Normativka/prikaz_ob_utverzh-polozhenija_o_konkursnom_otbore.pdf" TargetMode="External"/><Relationship Id="rId30" Type="http://schemas.openxmlformats.org/officeDocument/2006/relationships/hyperlink" Target="http://vatt-kkk.ucoz.net/Normativka/polozhnie_i_dk.pdf" TargetMode="External"/><Relationship Id="rId35" Type="http://schemas.openxmlformats.org/officeDocument/2006/relationships/hyperlink" Target="https://disk.yandex.ru/d/J4mxsbOliNNCWA" TargetMode="External"/><Relationship Id="rId43" Type="http://schemas.openxmlformats.org/officeDocument/2006/relationships/hyperlink" Target="https://rosdk.ru/" TargetMode="External"/><Relationship Id="rId48" Type="http://schemas.openxmlformats.org/officeDocument/2006/relationships/hyperlink" Target="https://&#1083;&#1080;&#1076;&#1077;&#1088;&#1099;&#1088;&#1086;&#1089;&#1089;&#1080;&#1080;.&#1088;&#1092;/" TargetMode="External"/><Relationship Id="rId8" Type="http://schemas.openxmlformats.org/officeDocument/2006/relationships/hyperlink" Target="http://base.garant.ru/70291362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1677-E75D-4AFD-B66D-EE6F71BB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11106</Words>
  <Characters>63308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</cp:revision>
  <cp:lastPrinted>2024-11-05T05:16:00Z</cp:lastPrinted>
  <dcterms:created xsi:type="dcterms:W3CDTF">2024-11-05T07:37:00Z</dcterms:created>
  <dcterms:modified xsi:type="dcterms:W3CDTF">2024-11-05T10:51:00Z</dcterms:modified>
</cp:coreProperties>
</file>